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040D4F" w:rsidRPr="00040D4F" w:rsidRDefault="00C6577A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  <w:t>В</w:t>
            </w:r>
            <w:r w:rsidR="00040D4F" w:rsidRPr="00040D4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  <w:t>ебинар</w:t>
            </w:r>
          </w:p>
          <w:p w:rsidR="00C518FF" w:rsidRPr="003071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432081" w:rsidRPr="003071FF" w:rsidRDefault="009F76C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09</w:t>
            </w:r>
            <w:r w:rsidR="0052614E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дека</w:t>
            </w:r>
            <w:r w:rsidR="00E20FB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бря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10.00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до </w:t>
            </w:r>
            <w:r w:rsidR="006418B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4</w:t>
            </w:r>
            <w:r w:rsidR="006418B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час.</w:t>
            </w:r>
          </w:p>
          <w:p w:rsidR="00891BC5" w:rsidRPr="00A86949" w:rsidRDefault="00891BC5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3071FF" w:rsidRDefault="00432081" w:rsidP="009F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9F76CF" w:rsidRPr="009F76C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Годовая отчётность бюджетных и автономных учреждений</w:t>
            </w:r>
            <w:r w:rsidR="00F20C96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- 2020</w:t>
            </w:r>
            <w:r w:rsidR="006418BE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0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D23754" w:rsidRDefault="00432081" w:rsidP="006418B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6418BE" w:rsidRPr="006418B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- э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бюджетному учету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, г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>лавный эксперт по бюджетному учету Международного института сертифицированных бухгалтеров и финансовых менеджеров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, а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>ттестованный преподаватель ИПБ России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, р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аботает с Контрольно-счетной палатой и Управлением Федерального казначейства </w:t>
            </w:r>
            <w:r w:rsidR="00E20FB3" w:rsidRPr="00E20FB3">
              <w:rPr>
                <w:rFonts w:ascii="Times New Roman" w:eastAsia="Calibri" w:hAnsi="Times New Roman" w:cs="Times New Roman"/>
                <w:color w:val="000000"/>
                <w:sz w:val="24"/>
              </w:rPr>
              <w:t>(г. Москва)</w:t>
            </w:r>
          </w:p>
        </w:tc>
      </w:tr>
    </w:tbl>
    <w:p w:rsidR="00252429" w:rsidRPr="008C6AC4" w:rsidRDefault="008C6AC4" w:rsidP="00C6577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proofErr w:type="spellStart"/>
      <w:r w:rsidRPr="008C6AC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Вебинар</w:t>
      </w:r>
      <w:proofErr w:type="spellEnd"/>
      <w:r w:rsidRPr="008C6AC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</w:t>
      </w:r>
      <w:proofErr w:type="gramStart"/>
      <w:r w:rsidRPr="008C6AC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предназначен</w:t>
      </w:r>
      <w:proofErr w:type="gramEnd"/>
      <w:r w:rsidRPr="008C6AC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для главных бухгалтеров бюджетных и автономных учреждений.</w:t>
      </w:r>
    </w:p>
    <w:p w:rsidR="008C6AC4" w:rsidRDefault="008C6AC4" w:rsidP="00C6577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6577A" w:rsidRPr="00C6577A" w:rsidRDefault="00C6577A" w:rsidP="00C657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C6577A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ВНИМАНИЕ: возможно участие </w:t>
      </w:r>
      <w:r w:rsidRPr="00C6577A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  <w:u w:val="single"/>
        </w:rPr>
        <w:t>на Вашем рабочем месте при оплате до 0</w:t>
      </w:r>
      <w:r w:rsidR="008C6AC4" w:rsidRPr="00C53703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  <w:u w:val="single"/>
        </w:rPr>
        <w:t>4.12.202</w:t>
      </w:r>
      <w:r w:rsidR="00C53703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  <w:u w:val="single"/>
        </w:rPr>
        <w:t>0</w:t>
      </w:r>
      <w:r w:rsidR="008C6AC4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 либо предоставлении гарантийного письма с указанием даты оплаты</w:t>
      </w:r>
      <w:r w:rsidRPr="00C6577A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>.</w:t>
      </w:r>
    </w:p>
    <w:p w:rsidR="00C6577A" w:rsidRDefault="00C6577A" w:rsidP="00C6577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6577A" w:rsidRPr="00D23754" w:rsidRDefault="00C6577A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Нормативно-правовые основания формирования годовой отчётности за 2020 год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как повлияет принятие ФСБУ «Бюджетная информация в бухгалтерской (финансовой) отчетности» (приказ Минфина от 28.02.2018 №37н) и изменение в ФСБУ «Концептуальные основы…» (приказ Минфина РФ от 30.06.2020 №130н) на отчётность 2020-го года?</w:t>
      </w:r>
    </w:p>
    <w:p w:rsidR="009F76CF" w:rsidRP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Централизация учёта – как повлияет на сдачу отчётности в 2020 году?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Комментируем приказы Казначейства РФ </w:t>
      </w:r>
      <w:r w:rsidRPr="009F76CF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u w:val="single"/>
          <w:lang w:eastAsia="ru-RU"/>
        </w:rPr>
        <w:t>о централизованном учёте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17н от 01.04.2020, № 40н и № 41н от 31.12.2019.</w:t>
      </w:r>
    </w:p>
    <w:p w:rsid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Изменения в формировании первичных документов (Приказ Минфина от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15.06.2020 № 103н) и в применении Единого плана счетов (Приказ Минфина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 14.09.2020 №198н)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как учесть в составлении отчётности за 2020 год?</w:t>
      </w:r>
    </w:p>
    <w:p w:rsid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Общие требования к годовой отчётности бюджетных и автономных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учреждений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изучаем изменения, внесённые приказом Минфина РФ от 06.04.2020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 53н и приказом Минфина РФ от 30.06.2020 №127н.</w:t>
      </w:r>
    </w:p>
    <w:p w:rsid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Подготовительные мероприятия, проводимые бухгалтером учреждения перед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составлением отчетности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Особенности проведения инвентаризации активов и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обязательств в 2020 году: как подтвердить статус актива? нужно или не нужно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обесценение активов? Выявляем сомнительную дебиторскую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задолженность для формирования резерва по сомнительным долгам. Начисляем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резерв под снижение стоимости материальных запасов. Обсуждаем приказы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Минфина РФ от 31.12.2016 №№257 и 259н, от 27.02.2018 №32н.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Проверяем формирование рабочего плана счетов в 2020 году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Применяем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и правила приказа Минфина РФ от 29.11.2017 года №209н и приказа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Минфина РФ от 08.06.2018 №132. Обсуждаем проблемные вопросы формирования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структуры счёта и применения КОСГУ и КБК.</w:t>
      </w:r>
    </w:p>
    <w:p w:rsidR="009F76CF" w:rsidRP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Особенности представления различных форм отчетности бюджетных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(автономных) учреждений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F76CF" w:rsidRPr="00F20C96" w:rsidRDefault="009F76CF" w:rsidP="00FD750E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Баланс государственного (муниципального) учреждения (ф. 0503730). Особенности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отражения остатков на начало года. </w:t>
      </w:r>
      <w:r w:rsidRPr="009F76CF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Особенности отражения убытков от</w:t>
      </w:r>
      <w:r w:rsidRPr="009F76CF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обесценения активов и прав пользования имуществом. </w:t>
      </w:r>
      <w:r w:rsidRPr="00F20C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Особенности отражения</w:t>
      </w:r>
      <w:r w:rsidRPr="00F20C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20C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остатков особо ценного движимого и недвижимого имущества. Особенности</w:t>
      </w:r>
      <w:r w:rsidRPr="00F20C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20C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отражения в отчетности остатков на </w:t>
      </w:r>
      <w:proofErr w:type="spellStart"/>
      <w:r w:rsidRPr="00F20C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забалансовых</w:t>
      </w:r>
      <w:proofErr w:type="spellEnd"/>
      <w:r w:rsidRPr="00F20C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счетах.</w:t>
      </w:r>
    </w:p>
    <w:p w:rsidR="009F76CF" w:rsidRPr="009F76CF" w:rsidRDefault="009F76CF" w:rsidP="00FD750E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Справка по заключению учреждением счетов бухгалтерского учета отчетного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финансового года (ф. 0503710). Как поступать со счетом 304.06 – отражать или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отражать в справке.</w:t>
      </w:r>
    </w:p>
    <w:p w:rsidR="009F76CF" w:rsidRPr="009F76CF" w:rsidRDefault="009F76CF" w:rsidP="00FD750E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 об обязательствах, принятых учреждением (ф. 0503738). Основные ошибки,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допускаемые бухгалтерами при составлении отчетности о санкционировании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расходов.</w:t>
      </w:r>
    </w:p>
    <w:p w:rsidR="009F76CF" w:rsidRPr="009F76CF" w:rsidRDefault="009F76CF" w:rsidP="00FD750E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 о финансовых результатах деятельности учреждения (ф. 0503721).</w:t>
      </w:r>
    </w:p>
    <w:p w:rsidR="009F76CF" w:rsidRDefault="009F76CF" w:rsidP="00FD750E">
      <w:pPr>
        <w:pStyle w:val="a5"/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76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Пояснительная записка к Балансу учреждения (ф. 0503760).</w:t>
      </w:r>
    </w:p>
    <w:p w:rsidR="009F76CF" w:rsidRPr="009F76CF" w:rsidRDefault="009F76CF" w:rsidP="00FD75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F20C9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Планируемые изменения в учете и отчетности бюджетных (автономных) 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учреждений с 2021 года. </w:t>
      </w:r>
      <w:r w:rsidRPr="009F76CF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Обсуждаем введение системы казначейских платежей</w:t>
      </w:r>
      <w:r w:rsidRPr="009F76CF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.</w:t>
      </w:r>
    </w:p>
    <w:p w:rsidR="009F76CF" w:rsidRDefault="009F76CF" w:rsidP="006418B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F4D" w:rsidRPr="00A8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</w:p>
    <w:p w:rsidR="007263F3" w:rsidRDefault="00321ED5" w:rsidP="00300D42">
      <w:pPr>
        <w:pBdr>
          <w:top w:val="double" w:sz="4" w:space="0" w:color="E36C0A"/>
          <w:bottom w:val="double" w:sz="4" w:space="1" w:color="E36C0A"/>
        </w:pBdr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21ED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</w:p>
    <w:p w:rsidR="00B201F4" w:rsidRPr="00B201F4" w:rsidRDefault="00914F40" w:rsidP="00300D42">
      <w:pPr>
        <w:pBdr>
          <w:top w:val="double" w:sz="4" w:space="0" w:color="E36C0A"/>
          <w:bottom w:val="double" w:sz="4" w:space="1" w:color="E36C0A"/>
        </w:pBd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при оплате 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124EC7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24EC7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 w:rsidRPr="00300D4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C21D1" w:rsidRPr="00300D4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 w:rsidRPr="00300D42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315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р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;</w:t>
      </w:r>
      <w:r w:rsidR="00300D4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3325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3BC" w:rsidRPr="008003BC" w:rsidRDefault="00432081" w:rsidP="00300D42">
      <w:pPr>
        <w:pBdr>
          <w:top w:val="double" w:sz="4" w:space="0" w:color="E36C0A"/>
          <w:bottom w:val="double" w:sz="4" w:space="1" w:color="E36C0A"/>
        </w:pBdr>
        <w:spacing w:after="0" w:line="240" w:lineRule="auto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2975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D4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165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F5321E" w:rsidRDefault="00F5321E" w:rsidP="00F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</w:t>
            </w:r>
            <w:proofErr w:type="spellEnd"/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</w:t>
            </w:r>
            <w:r w:rsidR="0072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 «Выбор» по адресам:</w:t>
            </w:r>
          </w:p>
          <w:p w:rsidR="007263F3" w:rsidRP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ул. Коммунистическая,6;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A35285" w:rsidRDefault="00CE61E8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Участие строго</w:t>
                  </w:r>
                  <w:r w:rsidR="000F7284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 платежным документам</w:t>
                  </w:r>
                  <w:r w:rsidR="00FD75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либо гарантийным письмам</w:t>
                  </w:r>
                  <w:r w:rsidR="000F7284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Возможна оплата за наличный расчет 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позднее</w:t>
                  </w:r>
                  <w:r w:rsidR="00FD75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04.12.2020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2" w:name="_GoBack"/>
                  <w:bookmarkEnd w:id="2"/>
                </w:p>
                <w:p w:rsidR="00A35285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B25A8A">
                  <w:pPr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7C640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2B8"/>
    <w:multiLevelType w:val="hybridMultilevel"/>
    <w:tmpl w:val="1054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2468D"/>
    <w:rsid w:val="0003234C"/>
    <w:rsid w:val="00040D4F"/>
    <w:rsid w:val="000557BD"/>
    <w:rsid w:val="00057306"/>
    <w:rsid w:val="00070CBF"/>
    <w:rsid w:val="00074458"/>
    <w:rsid w:val="00075A54"/>
    <w:rsid w:val="000875AE"/>
    <w:rsid w:val="0009571B"/>
    <w:rsid w:val="000B296D"/>
    <w:rsid w:val="000B56CA"/>
    <w:rsid w:val="000C19EF"/>
    <w:rsid w:val="000C535B"/>
    <w:rsid w:val="000D099E"/>
    <w:rsid w:val="000D1863"/>
    <w:rsid w:val="000E35F2"/>
    <w:rsid w:val="000F690D"/>
    <w:rsid w:val="000F7284"/>
    <w:rsid w:val="00101DD5"/>
    <w:rsid w:val="0011224D"/>
    <w:rsid w:val="00122E25"/>
    <w:rsid w:val="001233F9"/>
    <w:rsid w:val="00124EC7"/>
    <w:rsid w:val="00126941"/>
    <w:rsid w:val="00134834"/>
    <w:rsid w:val="0013489D"/>
    <w:rsid w:val="00134F2C"/>
    <w:rsid w:val="00145F79"/>
    <w:rsid w:val="00151FC0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1E85"/>
    <w:rsid w:val="00252429"/>
    <w:rsid w:val="00254C39"/>
    <w:rsid w:val="0027630C"/>
    <w:rsid w:val="002A3C2D"/>
    <w:rsid w:val="002B30FC"/>
    <w:rsid w:val="002B3478"/>
    <w:rsid w:val="002C21D1"/>
    <w:rsid w:val="002C6E11"/>
    <w:rsid w:val="002D39EE"/>
    <w:rsid w:val="002E323D"/>
    <w:rsid w:val="002F4B62"/>
    <w:rsid w:val="00300D42"/>
    <w:rsid w:val="0030544A"/>
    <w:rsid w:val="003071FF"/>
    <w:rsid w:val="00316A30"/>
    <w:rsid w:val="00321ED5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27F5B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9728F"/>
    <w:rsid w:val="004A2F72"/>
    <w:rsid w:val="004B1328"/>
    <w:rsid w:val="004B4395"/>
    <w:rsid w:val="004B5553"/>
    <w:rsid w:val="004B687E"/>
    <w:rsid w:val="004C2049"/>
    <w:rsid w:val="004C3200"/>
    <w:rsid w:val="004D0133"/>
    <w:rsid w:val="004D2620"/>
    <w:rsid w:val="004D6B6D"/>
    <w:rsid w:val="004E1361"/>
    <w:rsid w:val="004E22AB"/>
    <w:rsid w:val="004E40CE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C1E14"/>
    <w:rsid w:val="005D5A7C"/>
    <w:rsid w:val="005E24A5"/>
    <w:rsid w:val="005E714F"/>
    <w:rsid w:val="005F61D0"/>
    <w:rsid w:val="00603B28"/>
    <w:rsid w:val="006332DD"/>
    <w:rsid w:val="006418BE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263F3"/>
    <w:rsid w:val="007305C3"/>
    <w:rsid w:val="0073382E"/>
    <w:rsid w:val="0073528D"/>
    <w:rsid w:val="00737736"/>
    <w:rsid w:val="0074010E"/>
    <w:rsid w:val="00742918"/>
    <w:rsid w:val="00742BA9"/>
    <w:rsid w:val="00751EC6"/>
    <w:rsid w:val="00753FE0"/>
    <w:rsid w:val="007724DD"/>
    <w:rsid w:val="00773016"/>
    <w:rsid w:val="007929D4"/>
    <w:rsid w:val="007A4BFA"/>
    <w:rsid w:val="007A5B4B"/>
    <w:rsid w:val="007C6408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8781B"/>
    <w:rsid w:val="0089003E"/>
    <w:rsid w:val="00891BC5"/>
    <w:rsid w:val="008A0CDC"/>
    <w:rsid w:val="008A198B"/>
    <w:rsid w:val="008A7E5E"/>
    <w:rsid w:val="008C4AFF"/>
    <w:rsid w:val="008C631B"/>
    <w:rsid w:val="008C6AC4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67A07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9F76CF"/>
    <w:rsid w:val="00A01984"/>
    <w:rsid w:val="00A1483E"/>
    <w:rsid w:val="00A16884"/>
    <w:rsid w:val="00A17999"/>
    <w:rsid w:val="00A24632"/>
    <w:rsid w:val="00A3109D"/>
    <w:rsid w:val="00A317BA"/>
    <w:rsid w:val="00A331B8"/>
    <w:rsid w:val="00A35285"/>
    <w:rsid w:val="00A438E5"/>
    <w:rsid w:val="00A55438"/>
    <w:rsid w:val="00A634DB"/>
    <w:rsid w:val="00A679A3"/>
    <w:rsid w:val="00A75EA4"/>
    <w:rsid w:val="00A812F2"/>
    <w:rsid w:val="00A81B25"/>
    <w:rsid w:val="00A83F4D"/>
    <w:rsid w:val="00A86949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13C6A"/>
    <w:rsid w:val="00B201F4"/>
    <w:rsid w:val="00B2023D"/>
    <w:rsid w:val="00B25A8A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00CE"/>
    <w:rsid w:val="00C518FF"/>
    <w:rsid w:val="00C53703"/>
    <w:rsid w:val="00C556BB"/>
    <w:rsid w:val="00C566F1"/>
    <w:rsid w:val="00C6577A"/>
    <w:rsid w:val="00C66EE4"/>
    <w:rsid w:val="00C75E19"/>
    <w:rsid w:val="00C90539"/>
    <w:rsid w:val="00C94AE2"/>
    <w:rsid w:val="00CB03F2"/>
    <w:rsid w:val="00CC0537"/>
    <w:rsid w:val="00CC23D8"/>
    <w:rsid w:val="00CE13B7"/>
    <w:rsid w:val="00CE61E8"/>
    <w:rsid w:val="00CF4B7F"/>
    <w:rsid w:val="00D06FCF"/>
    <w:rsid w:val="00D07E10"/>
    <w:rsid w:val="00D132FF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20FB3"/>
    <w:rsid w:val="00E33974"/>
    <w:rsid w:val="00E412A2"/>
    <w:rsid w:val="00E41D01"/>
    <w:rsid w:val="00E541E7"/>
    <w:rsid w:val="00E54774"/>
    <w:rsid w:val="00E5550E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0C96"/>
    <w:rsid w:val="00F22BFC"/>
    <w:rsid w:val="00F5321E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D750E"/>
    <w:rsid w:val="00FE5F6E"/>
    <w:rsid w:val="00FE6328"/>
    <w:rsid w:val="00FF0E55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4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4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15</cp:revision>
  <cp:lastPrinted>2016-08-03T07:59:00Z</cp:lastPrinted>
  <dcterms:created xsi:type="dcterms:W3CDTF">2020-08-21T11:24:00Z</dcterms:created>
  <dcterms:modified xsi:type="dcterms:W3CDTF">2020-11-17T06:26:00Z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1203322885</vt:i4>
  </property>
  <property fmtid="{D5CDD505-2E9C-101B-9397-08002B2CF9AE}" pid="3" name="_NewReviewCycle">
    <vt:lpwstr/>
  </property>
  <property fmtid="{D5CDD505-2E9C-101B-9397-08002B2CF9AE}" pid="4" name="_EmailSubject">
    <vt:lpwstr>УМЦ инфа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